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2563EB"/>
          <w:spacing w:val="20"/>
          <w:sz w:val="20"/>
          <w:szCs w:val="20"/>
        </w:rPr>
        <w:t xml:space="preserve">NORDSTONE</w:t>
      </w:r>
    </w:p>
    <w:p>
      <w:pPr>
        <w:spacing w:after="60"/>
      </w:pPr>
      <w:r>
        <w:rPr>
          <w:b/>
          <w:bCs/>
          <w:color w:val="1F2937"/>
          <w:sz w:val="44"/>
          <w:szCs w:val="44"/>
        </w:rPr>
        <w:t xml:space="preserve">Pre-Launch QA Review</w:t>
      </w:r>
    </w:p>
    <w:p>
      <w:pPr>
        <w:spacing w:after="260"/>
      </w:pPr>
      <w:r>
        <w:rPr>
          <w:i/>
          <w:iCs/>
          <w:color w:val="6B7280"/>
          <w:sz w:val="20"/>
          <w:szCs w:val="20"/>
        </w:rPr>
        <w:t xml:space="preserve">A structured checklist to run against the exact build you intend to submit — not an earlier version. Work through each section, mark a status, and note anything that needs fixing before launch.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706"/>
      </w:tblGrid>
      <w:tr>
        <w:tc>
          <w:tcPr>
            <w:tcW w:type="dxa" w:w="30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App name</w:t>
            </w:r>
          </w:p>
        </w:tc>
        <w:tc>
          <w:tcPr>
            <w:tcW w:type="dxa" w:w="670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Build/version reviewed</w:t>
            </w:r>
          </w:p>
        </w:tc>
        <w:tc>
          <w:tcPr>
            <w:tcW w:type="dxa" w:w="670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Reviewed by</w:t>
            </w:r>
          </w:p>
        </w:tc>
        <w:tc>
          <w:tcPr>
            <w:tcW w:type="dxa" w:w="670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Review date</w:t>
            </w:r>
          </w:p>
        </w:tc>
        <w:tc>
          <w:tcPr>
            <w:tcW w:type="dxa" w:w="670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Target launch date</w:t>
            </w:r>
          </w:p>
        </w:tc>
        <w:tc>
          <w:tcPr>
            <w:tcW w:type="dxa" w:w="670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spacing w:after="80" w:before="260"/>
      </w:pPr>
      <w:r>
        <w:rPr>
          <w:b/>
          <w:bCs/>
          <w:color w:val="2563EB"/>
          <w:sz w:val="23"/>
          <w:szCs w:val="23"/>
        </w:rPr>
        <w:t xml:space="preserve">1. Functional testing</w:t>
      </w:r>
    </w:p>
    <w:p>
      <w:pPr>
        <w:spacing w:after="100"/>
      </w:pPr>
      <w:r>
        <w:rPr>
          <w:i w:val="false"/>
          <w:iCs w:val="false"/>
          <w:color w:val="111827"/>
          <w:sz w:val="20"/>
          <w:szCs w:val="20"/>
        </w:rPr>
        <w:t xml:space="preserve">Confirm every feature does what it's supposed to, including deliberate "unhappy path" testing — invalid input, interrupted flows, and edge cases.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200"/>
        <w:gridCol w:w="1400"/>
        <w:gridCol w:w="2546"/>
      </w:tblGrid>
      <w:tr>
        <w:trPr>
          <w:tblHeader/>
        </w:trPr>
        <w:tc>
          <w:tcPr>
            <w:tcW w:type="dxa" w:w="56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✓</w:t>
            </w:r>
          </w:p>
        </w:tc>
        <w:tc>
          <w:tcPr>
            <w:tcW w:type="dxa" w:w="52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Check</w:t>
            </w:r>
          </w:p>
        </w:tc>
        <w:tc>
          <w:tcPr>
            <w:tcW w:type="dxa" w:w="14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Status</w:t>
            </w:r>
          </w:p>
        </w:tc>
        <w:tc>
          <w:tcPr>
            <w:tcW w:type="dxa" w:w="2546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Every core user journey tested end-to-end on the current build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All forms tested with valid and invalid input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Every button, link and navigation path checked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Payment/checkout flow tested including a deliberately failed transaction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App tested going offline mid-action, then reconnecting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Every screen state checked: empty, loading, error, populated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Third-party integrations (login, payments, APIs) verified end-to-end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spacing w:after="80" w:before="260"/>
      </w:pPr>
      <w:r>
        <w:rPr>
          <w:b/>
          <w:bCs/>
          <w:color w:val="2563EB"/>
          <w:sz w:val="23"/>
          <w:szCs w:val="23"/>
        </w:rPr>
        <w:t xml:space="preserve">2. Device and OS compatibility</w:t>
      </w:r>
    </w:p>
    <w:p>
      <w:pPr>
        <w:spacing w:after="100"/>
      </w:pPr>
      <w:r>
        <w:rPr>
          <w:i w:val="false"/>
          <w:iCs w:val="false"/>
          <w:color w:val="111827"/>
          <w:sz w:val="20"/>
          <w:szCs w:val="20"/>
        </w:rPr>
        <w:t xml:space="preserve">UK usage splits close to 51% iOS / 49% Android — treat both platforms as mandatory, not one primary and one "if time allows."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200"/>
        <w:gridCol w:w="1400"/>
        <w:gridCol w:w="2546"/>
      </w:tblGrid>
      <w:tr>
        <w:trPr>
          <w:tblHeader/>
        </w:trPr>
        <w:tc>
          <w:tcPr>
            <w:tcW w:type="dxa" w:w="56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✓</w:t>
            </w:r>
          </w:p>
        </w:tc>
        <w:tc>
          <w:tcPr>
            <w:tcW w:type="dxa" w:w="52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Check</w:t>
            </w:r>
          </w:p>
        </w:tc>
        <w:tc>
          <w:tcPr>
            <w:tcW w:type="dxa" w:w="14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Status</w:t>
            </w:r>
          </w:p>
        </w:tc>
        <w:tc>
          <w:tcPr>
            <w:tcW w:type="dxa" w:w="2546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Tested on current + two previous major iOS versions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Tested on current + two previous major Android versions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Tested on at least one small-screen device per platform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Tested on at least one large-screen device per platform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Tested on at least one older/lower-spec Android device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Layout checked in both portrait and landscape (where supported)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Tested with system font size increased (accessibility setting)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spacing w:after="80" w:before="260"/>
      </w:pPr>
      <w:r>
        <w:rPr>
          <w:b/>
          <w:bCs/>
          <w:color w:val="2563EB"/>
          <w:sz w:val="23"/>
          <w:szCs w:val="23"/>
        </w:rPr>
        <w:t xml:space="preserve">3. Performance and load testing</w:t>
      </w:r>
    </w:p>
    <w:p>
      <w:pPr>
        <w:spacing w:after="100"/>
      </w:pPr>
      <w:r>
        <w:rPr>
          <w:i w:val="false"/>
          <w:iCs w:val="false"/>
          <w:color w:val="111827"/>
          <w:sz w:val="20"/>
          <w:szCs w:val="20"/>
        </w:rPr>
        <w:t xml:space="preserve">Performance is the single biggest driver of abandonment — most users cite it as decisive, and a single crash is enough to lose 1 in 7 users immediately.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200"/>
        <w:gridCol w:w="1400"/>
        <w:gridCol w:w="2546"/>
      </w:tblGrid>
      <w:tr>
        <w:trPr>
          <w:tblHeader/>
        </w:trPr>
        <w:tc>
          <w:tcPr>
            <w:tcW w:type="dxa" w:w="56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✓</w:t>
            </w:r>
          </w:p>
        </w:tc>
        <w:tc>
          <w:tcPr>
            <w:tcW w:type="dxa" w:w="52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Check</w:t>
            </w:r>
          </w:p>
        </w:tc>
        <w:tc>
          <w:tcPr>
            <w:tcW w:type="dxa" w:w="14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Status</w:t>
            </w:r>
          </w:p>
        </w:tc>
        <w:tc>
          <w:tcPr>
            <w:tcW w:type="dxa" w:w="2546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App launch time measured and acceptable (under ~2–3 seconds typical)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Screen transitions tested for lag or stutter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Memory usage checked over an extended session, not just a quick test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Battery drain checked over typical extended use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Backend load-tested against expected peak/launch-day traffic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Crash reporting tool installed and verified to be capturing events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spacing w:after="80" w:before="260"/>
      </w:pPr>
      <w:r>
        <w:rPr>
          <w:b/>
          <w:bCs/>
          <w:color w:val="2563EB"/>
          <w:sz w:val="23"/>
          <w:szCs w:val="23"/>
        </w:rPr>
        <w:t xml:space="preserve">4. Security testing</w:t>
      </w:r>
    </w:p>
    <w:p>
      <w:pPr>
        <w:spacing w:after="100"/>
      </w:pPr>
      <w:r>
        <w:rPr>
          <w:i w:val="false"/>
          <w:iCs w:val="false"/>
          <w:color w:val="111827"/>
          <w:sz w:val="20"/>
          <w:szCs w:val="20"/>
        </w:rPr>
        <w:t xml:space="preserve">Use OWASP's Mobile Application Security Verification Standard (MASVS) as a structured baseline, even without a full penetration test.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200"/>
        <w:gridCol w:w="1400"/>
        <w:gridCol w:w="2546"/>
      </w:tblGrid>
      <w:tr>
        <w:trPr>
          <w:tblHeader/>
        </w:trPr>
        <w:tc>
          <w:tcPr>
            <w:tcW w:type="dxa" w:w="56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✓</w:t>
            </w:r>
          </w:p>
        </w:tc>
        <w:tc>
          <w:tcPr>
            <w:tcW w:type="dxa" w:w="52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Check</w:t>
            </w:r>
          </w:p>
        </w:tc>
        <w:tc>
          <w:tcPr>
            <w:tcW w:type="dxa" w:w="14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Status</w:t>
            </w:r>
          </w:p>
        </w:tc>
        <w:tc>
          <w:tcPr>
            <w:tcW w:type="dxa" w:w="2546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No sensitive data stored unencrypted on the device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No sensitive data logged in plain text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API keys and secrets not embedded in the client-side binary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Session handling and authentication reviewed against MASVS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Network traffic checked for proper TLS/HTTPS enforcement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Professional penetration test commissioned (payments/health/sensitive data apps)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spacing w:after="80" w:before="260"/>
      </w:pPr>
      <w:r>
        <w:rPr>
          <w:b/>
          <w:bCs/>
          <w:color w:val="2563EB"/>
          <w:sz w:val="23"/>
          <w:szCs w:val="23"/>
        </w:rPr>
        <w:t xml:space="preserve">5. Accessibility testing</w:t>
      </w:r>
    </w:p>
    <w:p>
      <w:pPr>
        <w:spacing w:after="100"/>
      </w:pPr>
      <w:r>
        <w:rPr>
          <w:i w:val="false"/>
          <w:iCs w:val="false"/>
          <w:color w:val="111827"/>
          <w:sz w:val="20"/>
          <w:szCs w:val="20"/>
        </w:rPr>
        <w:t xml:space="preserve">WCAG 2.2 AA is the recognised UK standard — a legal requirement for public sector apps, and the accepted benchmark for private-sector "reasonable adjustments."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200"/>
        <w:gridCol w:w="1400"/>
        <w:gridCol w:w="2546"/>
      </w:tblGrid>
      <w:tr>
        <w:trPr>
          <w:tblHeader/>
        </w:trPr>
        <w:tc>
          <w:tcPr>
            <w:tcW w:type="dxa" w:w="56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✓</w:t>
            </w:r>
          </w:p>
        </w:tc>
        <w:tc>
          <w:tcPr>
            <w:tcW w:type="dxa" w:w="52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Check</w:t>
            </w:r>
          </w:p>
        </w:tc>
        <w:tc>
          <w:tcPr>
            <w:tcW w:type="dxa" w:w="14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Status</w:t>
            </w:r>
          </w:p>
        </w:tc>
        <w:tc>
          <w:tcPr>
            <w:tcW w:type="dxa" w:w="2546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Screen reader navigation tested (VoiceOver on iOS, TalkBack on Android)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Colour contrast checked against WCAG 2.2 AA ratios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No information conveyed by colour alone (e.g. form errors)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Touch targets large enough for users with limited dexterity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Text alternatives provided for meaningful images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App usable with system font size increased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spacing w:after="80" w:before="260"/>
      </w:pPr>
      <w:r>
        <w:rPr>
          <w:b/>
          <w:bCs/>
          <w:color w:val="2563EB"/>
          <w:sz w:val="23"/>
          <w:szCs w:val="23"/>
        </w:rPr>
        <w:t xml:space="preserve">6. Beta testing</w:t>
      </w:r>
    </w:p>
    <w:p>
      <w:pPr>
        <w:spacing w:after="100"/>
      </w:pPr>
      <w:r>
        <w:rPr>
          <w:i w:val="false"/>
          <w:iCs w:val="false"/>
          <w:color w:val="111827"/>
          <w:sz w:val="20"/>
          <w:szCs w:val="20"/>
        </w:rPr>
        <w:t xml:space="preserve">Real users outside the immediate team catch issues no internal test plan anticipates.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200"/>
        <w:gridCol w:w="1400"/>
        <w:gridCol w:w="2546"/>
      </w:tblGrid>
      <w:tr>
        <w:trPr>
          <w:tblHeader/>
        </w:trPr>
        <w:tc>
          <w:tcPr>
            <w:tcW w:type="dxa" w:w="56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✓</w:t>
            </w:r>
          </w:p>
        </w:tc>
        <w:tc>
          <w:tcPr>
            <w:tcW w:type="dxa" w:w="52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Check</w:t>
            </w:r>
          </w:p>
        </w:tc>
        <w:tc>
          <w:tcPr>
            <w:tcW w:type="dxa" w:w="14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Status</w:t>
            </w:r>
          </w:p>
        </w:tc>
        <w:tc>
          <w:tcPr>
            <w:tcW w:type="dxa" w:w="2546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TestFlight build distributed to external iOS testers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Google Play closed testing track running (12+ testers, 14 continuous days)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Beta tester feedback collected and triaged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Critical/high-severity feedback actioned before submission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spacing w:after="80" w:before="260"/>
      </w:pPr>
      <w:r>
        <w:rPr>
          <w:b/>
          <w:bCs/>
          <w:color w:val="2563EB"/>
          <w:sz w:val="23"/>
          <w:szCs w:val="23"/>
        </w:rPr>
        <w:t xml:space="preserve">7. Launch readiness</w:t>
      </w:r>
    </w:p>
    <w:p>
      <w:pPr>
        <w:spacing w:after="100"/>
      </w:pPr>
      <w:r>
        <w:rPr>
          <w:i w:val="false"/>
          <w:iCs w:val="false"/>
          <w:color w:val="111827"/>
          <w:sz w:val="20"/>
          <w:szCs w:val="20"/>
        </w:rPr>
        <w:t xml:space="preserve">Final checks that sit alongside — not inside — the testing categories above.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200"/>
        <w:gridCol w:w="1400"/>
        <w:gridCol w:w="2546"/>
      </w:tblGrid>
      <w:tr>
        <w:trPr>
          <w:tblHeader/>
        </w:trPr>
        <w:tc>
          <w:tcPr>
            <w:tcW w:type="dxa" w:w="56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✓</w:t>
            </w:r>
          </w:p>
        </w:tc>
        <w:tc>
          <w:tcPr>
            <w:tcW w:type="dxa" w:w="52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Check</w:t>
            </w:r>
          </w:p>
        </w:tc>
        <w:tc>
          <w:tcPr>
            <w:tcW w:type="dxa" w:w="14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Status</w:t>
            </w:r>
          </w:p>
        </w:tc>
        <w:tc>
          <w:tcPr>
            <w:tcW w:type="dxa" w:w="2546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Privacy policy live and matching what the current build actually collects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App store listing assets (icons, screenshots, description) match current build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Content/age rating questionnaire completed accurately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Analytics live and verified working on the current build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☐</w:t>
            </w:r>
          </w:p>
        </w:tc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In-app account deletion available (required by Apple)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  <w:tc>
          <w:tcPr>
            <w:tcW w:type="dxa" w:w="254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spacing w:after="100" w:before="300"/>
      </w:pPr>
      <w:r>
        <w:rPr>
          <w:b/>
          <w:bCs/>
          <w:color w:val="2563EB"/>
          <w:sz w:val="23"/>
          <w:szCs w:val="23"/>
        </w:rPr>
        <w:t xml:space="preserve">Summary and sign-off</w:t>
      </w:r>
    </w:p>
    <w:p>
      <w:pPr>
        <w:spacing w:after="140"/>
      </w:pPr>
      <w:r>
        <w:rPr>
          <w:i w:val="false"/>
          <w:iCs w:val="false"/>
          <w:color w:val="111827"/>
          <w:sz w:val="20"/>
          <w:szCs w:val="20"/>
        </w:rPr>
        <w:t xml:space="preserve">List any items above marked as not passed, with the owner and target date for resolution.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706"/>
      </w:tblGrid>
      <w:tr>
        <w:tc>
          <w:tcPr>
            <w:tcW w:type="dxa" w:w="30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Outstanding issue</w:t>
            </w:r>
          </w:p>
        </w:tc>
        <w:tc>
          <w:tcPr>
            <w:tcW w:type="dxa" w:w="670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Owner</w:t>
            </w:r>
          </w:p>
        </w:tc>
        <w:tc>
          <w:tcPr>
            <w:tcW w:type="dxa" w:w="670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Target resolution date</w:t>
            </w:r>
          </w:p>
        </w:tc>
        <w:tc>
          <w:tcPr>
            <w:tcW w:type="dxa" w:w="670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Overall verdict</w:t>
            </w:r>
          </w:p>
        </w:tc>
        <w:tc>
          <w:tcPr>
            <w:tcW w:type="dxa" w:w="670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Ready to launch / Ready with minor fixes / Not ready</w:t>
            </w:r>
          </w:p>
        </w:tc>
      </w:tr>
      <w:tr>
        <w:tc>
          <w:tcPr>
            <w:tcW w:type="dxa" w:w="3000"/>
            <w:shd w:fill="EEF2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1F2937"/>
                <w:sz w:val="19"/>
                <w:szCs w:val="19"/>
              </w:rPr>
              <w:t xml:space="preserve">Reviewer sign-off</w:t>
            </w:r>
          </w:p>
        </w:tc>
        <w:tc>
          <w:tcPr>
            <w:tcW w:type="dxa" w:w="670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 w:val="false"/>
                <w:bCs w:val="false"/>
                <w:color w:val="111827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top w:val="single" w:color="CBD5E1" w:sz="6" w:space="8"/>
        </w:pBdr>
        <w:spacing w:before="400"/>
      </w:pPr>
      <w:r>
        <w:rPr>
          <w:color w:val="6B7280"/>
          <w:sz w:val="17"/>
          <w:szCs w:val="17"/>
        </w:rPr>
        <w:t xml:space="preserve">Nordstone  ·  nordstone.co.uk  ·  hello@nordstone.co.uk  ·  Want a second, independent pass on this? Get in touch for a free pre-launch QA review.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2026-09-11T06:36:59.603Z</dcterms:created>
  <dcterms:modified xsi:type="dcterms:W3CDTF">2026-09-11T06:36:59.612Z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